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13" w:rsidRPr="00CF6678" w:rsidRDefault="00F96B13" w:rsidP="00F96B13">
      <w:pPr>
        <w:rPr>
          <w:bCs/>
          <w:sz w:val="26"/>
          <w:szCs w:val="26"/>
        </w:rPr>
      </w:pPr>
      <w:r>
        <w:rPr>
          <w:bCs/>
          <w:sz w:val="26"/>
          <w:szCs w:val="26"/>
        </w:rPr>
        <w:t xml:space="preserve">     </w:t>
      </w:r>
      <w:r w:rsidRPr="00CF6678">
        <w:rPr>
          <w:bCs/>
          <w:sz w:val="26"/>
          <w:szCs w:val="26"/>
        </w:rPr>
        <w:t>ĐẠI HỌC THÁI NGUYÊN</w:t>
      </w:r>
    </w:p>
    <w:p w:rsidR="00F96B13" w:rsidRPr="00CF6678" w:rsidRDefault="00F96B13" w:rsidP="00F96B13">
      <w:pPr>
        <w:rPr>
          <w:b/>
          <w:sz w:val="26"/>
          <w:szCs w:val="26"/>
        </w:rPr>
      </w:pPr>
      <w:r w:rsidRPr="00CF6678">
        <w:rPr>
          <w:b/>
          <w:sz w:val="26"/>
          <w:szCs w:val="26"/>
        </w:rPr>
        <w:t>Đơn vị: Trường Đại học Y - Dược</w:t>
      </w:r>
    </w:p>
    <w:p w:rsidR="00F96B13" w:rsidRPr="00CF6678" w:rsidRDefault="00F96B13" w:rsidP="00F96B13">
      <w:pPr>
        <w:spacing w:line="360" w:lineRule="auto"/>
        <w:rPr>
          <w:b/>
          <w:sz w:val="26"/>
          <w:szCs w:val="26"/>
        </w:rPr>
      </w:pPr>
      <w:r>
        <w:rPr>
          <w:b/>
          <w:noProof/>
          <w:sz w:val="26"/>
          <w:szCs w:val="26"/>
          <w:lang w:val="vi-VN" w:eastAsia="vi-VN"/>
        </w:rPr>
        <mc:AlternateContent>
          <mc:Choice Requires="wps">
            <w:drawing>
              <wp:anchor distT="0" distB="0" distL="114300" distR="114300" simplePos="0" relativeHeight="251659264" behindDoc="0" locked="0" layoutInCell="1" allowOverlap="1" wp14:anchorId="0C25F22E" wp14:editId="26C88F90">
                <wp:simplePos x="0" y="0"/>
                <wp:positionH relativeFrom="column">
                  <wp:posOffset>575310</wp:posOffset>
                </wp:positionH>
                <wp:positionV relativeFrom="paragraph">
                  <wp:posOffset>13335</wp:posOffset>
                </wp:positionV>
                <wp:extent cx="1154430" cy="0"/>
                <wp:effectExtent l="6985"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05pt" to="13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t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Z5/gQ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As+TzaAAAABgEAAA8AAABkcnMvZG93bnJldi54bWxMjsFOwzAQRO9I&#10;/IO1SFwqategAmmcCgG5caGAuG7jJYkar9PYbVO+HpcLHEczevPy5eg6sachtJ4NzKYKBHHlbcu1&#10;gfe38uoORIjIFjvPZOBIAZbF+VmOmfUHfqX9KtYiQThkaKCJsc+kDFVDDsPU98Sp+/KDw5jiUEs7&#10;4CHBXSe1UnPpsOX00GBPjw1Vm9XOGQjlB23L70k1UZ/XtSe9fXp5RmMuL8aHBYhIY/wbw0k/qUOR&#10;nNZ+xzaIzsC9mqelAT0DkWp9q29ArH+zLHL5X7/4AQAA//8DAFBLAQItABQABgAIAAAAIQC2gziS&#10;/gAAAOEBAAATAAAAAAAAAAAAAAAAAAAAAABbQ29udGVudF9UeXBlc10ueG1sUEsBAi0AFAAGAAgA&#10;AAAhADj9If/WAAAAlAEAAAsAAAAAAAAAAAAAAAAALwEAAF9yZWxzLy5yZWxzUEsBAi0AFAAGAAgA&#10;AAAhAK3fi08cAgAANgQAAA4AAAAAAAAAAAAAAAAALgIAAGRycy9lMm9Eb2MueG1sUEsBAi0AFAAG&#10;AAgAAAAhACAs+TzaAAAABgEAAA8AAAAAAAAAAAAAAAAAdgQAAGRycy9kb3ducmV2LnhtbFBLBQYA&#10;AAAABAAEAPMAAAB9BQAAAAA=&#10;"/>
            </w:pict>
          </mc:Fallback>
        </mc:AlternateContent>
      </w:r>
    </w:p>
    <w:p w:rsidR="00F96B13" w:rsidRPr="00CF6678" w:rsidRDefault="00F96B13" w:rsidP="00F96B13">
      <w:pPr>
        <w:spacing w:line="360" w:lineRule="auto"/>
        <w:jc w:val="center"/>
        <w:rPr>
          <w:b/>
          <w:sz w:val="26"/>
          <w:szCs w:val="26"/>
        </w:rPr>
      </w:pPr>
      <w:r w:rsidRPr="00CF6678">
        <w:rPr>
          <w:b/>
          <w:sz w:val="26"/>
          <w:szCs w:val="26"/>
        </w:rPr>
        <w:t>THÔNG TIN KẾT QUẢ NGHIÊN CỨU</w:t>
      </w:r>
    </w:p>
    <w:p w:rsidR="00F96B13" w:rsidRPr="00CF6678" w:rsidRDefault="00F96B13" w:rsidP="00F96B13">
      <w:pPr>
        <w:spacing w:line="380" w:lineRule="exact"/>
        <w:rPr>
          <w:b/>
          <w:bCs/>
          <w:sz w:val="26"/>
          <w:szCs w:val="26"/>
        </w:rPr>
      </w:pPr>
      <w:r w:rsidRPr="00CF6678">
        <w:rPr>
          <w:b/>
          <w:bCs/>
          <w:sz w:val="26"/>
          <w:szCs w:val="26"/>
        </w:rPr>
        <w:t xml:space="preserve">1. Thông tin </w:t>
      </w:r>
      <w:proofErr w:type="gramStart"/>
      <w:r w:rsidRPr="00CF6678">
        <w:rPr>
          <w:b/>
          <w:bCs/>
          <w:sz w:val="26"/>
          <w:szCs w:val="26"/>
        </w:rPr>
        <w:t>chung</w:t>
      </w:r>
      <w:proofErr w:type="gramEnd"/>
      <w:r w:rsidRPr="00CF6678">
        <w:rPr>
          <w:b/>
          <w:bCs/>
          <w:sz w:val="26"/>
          <w:szCs w:val="26"/>
        </w:rPr>
        <w:t>:</w:t>
      </w:r>
    </w:p>
    <w:p w:rsidR="00F96B13" w:rsidRPr="00CF6678" w:rsidRDefault="00F96B13" w:rsidP="00F96B13">
      <w:pPr>
        <w:spacing w:line="380" w:lineRule="exact"/>
        <w:ind w:firstLine="374"/>
        <w:rPr>
          <w:sz w:val="26"/>
          <w:szCs w:val="26"/>
        </w:rPr>
      </w:pPr>
      <w:r w:rsidRPr="00CF6678">
        <w:rPr>
          <w:b/>
          <w:bCs/>
          <w:sz w:val="26"/>
          <w:szCs w:val="26"/>
        </w:rPr>
        <w:t xml:space="preserve">- </w:t>
      </w:r>
      <w:r w:rsidRPr="00CF6678">
        <w:rPr>
          <w:sz w:val="26"/>
          <w:szCs w:val="26"/>
        </w:rPr>
        <w:t>Tên đề tài: “</w:t>
      </w:r>
      <w:r w:rsidRPr="00CF6678">
        <w:rPr>
          <w:i/>
          <w:sz w:val="26"/>
          <w:szCs w:val="26"/>
        </w:rPr>
        <w:t xml:space="preserve">Nghiên cứu đặc điểm </w:t>
      </w:r>
      <w:r w:rsidRPr="00CF6678">
        <w:rPr>
          <w:rFonts w:hint="eastAsia"/>
          <w:i/>
          <w:sz w:val="26"/>
          <w:szCs w:val="26"/>
        </w:rPr>
        <w:t>đ</w:t>
      </w:r>
      <w:r w:rsidRPr="00CF6678">
        <w:rPr>
          <w:i/>
          <w:sz w:val="26"/>
          <w:szCs w:val="26"/>
        </w:rPr>
        <w:t>iện thế kích thích thị giác (VEP) trên trẻ em nh</w:t>
      </w:r>
      <w:r w:rsidRPr="00CF6678">
        <w:rPr>
          <w:rFonts w:hint="eastAsia"/>
          <w:i/>
          <w:sz w:val="26"/>
          <w:szCs w:val="26"/>
        </w:rPr>
        <w:t>ư</w:t>
      </w:r>
      <w:r w:rsidRPr="00CF6678">
        <w:rPr>
          <w:i/>
          <w:sz w:val="26"/>
          <w:szCs w:val="26"/>
        </w:rPr>
        <w:t xml:space="preserve">ợc thị lứa tuổi 6 </w:t>
      </w:r>
      <w:r w:rsidRPr="00CF6678">
        <w:rPr>
          <w:rFonts w:hint="eastAsia"/>
          <w:i/>
          <w:sz w:val="26"/>
          <w:szCs w:val="26"/>
        </w:rPr>
        <w:t>đ</w:t>
      </w:r>
      <w:r w:rsidRPr="00CF6678">
        <w:rPr>
          <w:i/>
          <w:sz w:val="26"/>
          <w:szCs w:val="26"/>
        </w:rPr>
        <w:t>ến 14 tuổi”</w:t>
      </w:r>
      <w:r w:rsidRPr="00CF6678">
        <w:rPr>
          <w:sz w:val="26"/>
          <w:szCs w:val="26"/>
        </w:rPr>
        <w:t xml:space="preserve"> </w:t>
      </w:r>
    </w:p>
    <w:p w:rsidR="00F96B13" w:rsidRPr="00CF6678" w:rsidRDefault="00F96B13" w:rsidP="00F96B13">
      <w:pPr>
        <w:spacing w:line="380" w:lineRule="exact"/>
        <w:ind w:firstLine="374"/>
        <w:rPr>
          <w:sz w:val="26"/>
          <w:szCs w:val="26"/>
        </w:rPr>
      </w:pPr>
      <w:r w:rsidRPr="00CF6678">
        <w:rPr>
          <w:sz w:val="26"/>
          <w:szCs w:val="26"/>
        </w:rPr>
        <w:t>- Mã số: 2015 TN 05 - 04</w:t>
      </w:r>
    </w:p>
    <w:p w:rsidR="00F96B13" w:rsidRPr="00CF6678" w:rsidRDefault="00F96B13" w:rsidP="00F96B13">
      <w:pPr>
        <w:spacing w:line="380" w:lineRule="exact"/>
        <w:ind w:firstLine="374"/>
        <w:rPr>
          <w:sz w:val="26"/>
          <w:szCs w:val="26"/>
        </w:rPr>
      </w:pPr>
      <w:r w:rsidRPr="00CF6678">
        <w:rPr>
          <w:sz w:val="26"/>
          <w:szCs w:val="26"/>
        </w:rPr>
        <w:t>- Chủ nhiệm đề tài: Nguyễn Thế Tùng</w:t>
      </w:r>
    </w:p>
    <w:p w:rsidR="00F96B13" w:rsidRPr="00CF6678" w:rsidRDefault="00F96B13" w:rsidP="00F96B13">
      <w:pPr>
        <w:spacing w:line="380" w:lineRule="exact"/>
        <w:ind w:firstLine="374"/>
        <w:rPr>
          <w:sz w:val="26"/>
          <w:szCs w:val="26"/>
        </w:rPr>
      </w:pPr>
      <w:r w:rsidRPr="00CF6678">
        <w:rPr>
          <w:sz w:val="26"/>
          <w:szCs w:val="26"/>
        </w:rPr>
        <w:t>- Tổ chức chủ trì: Trường Đại học Y – Dược</w:t>
      </w:r>
      <w:r>
        <w:rPr>
          <w:sz w:val="26"/>
          <w:szCs w:val="26"/>
        </w:rPr>
        <w:t>, Đại học Thái Nguyên</w:t>
      </w:r>
    </w:p>
    <w:p w:rsidR="00F96B13" w:rsidRPr="00CF6678" w:rsidRDefault="00F96B13" w:rsidP="00F96B13">
      <w:pPr>
        <w:spacing w:line="380" w:lineRule="exact"/>
        <w:ind w:firstLine="374"/>
        <w:rPr>
          <w:b/>
          <w:bCs/>
          <w:sz w:val="26"/>
          <w:szCs w:val="26"/>
        </w:rPr>
      </w:pPr>
      <w:r w:rsidRPr="00CF6678">
        <w:rPr>
          <w:sz w:val="26"/>
          <w:szCs w:val="26"/>
        </w:rPr>
        <w:t>- Thời gian thực hiện:</w:t>
      </w:r>
      <w:r w:rsidRPr="00CF6678">
        <w:rPr>
          <w:b/>
          <w:bCs/>
          <w:sz w:val="26"/>
          <w:szCs w:val="26"/>
        </w:rPr>
        <w:t xml:space="preserve"> </w:t>
      </w:r>
      <w:r w:rsidRPr="00CF6678">
        <w:rPr>
          <w:bCs/>
          <w:sz w:val="26"/>
          <w:szCs w:val="26"/>
        </w:rPr>
        <w:t>24 tháng (từ tháng 01/2015 đến 01/2017)</w:t>
      </w:r>
    </w:p>
    <w:p w:rsidR="00F96B13" w:rsidRPr="00CF6678" w:rsidRDefault="00F96B13" w:rsidP="00F96B13">
      <w:pPr>
        <w:spacing w:line="380" w:lineRule="exact"/>
        <w:rPr>
          <w:b/>
          <w:bCs/>
          <w:sz w:val="26"/>
          <w:szCs w:val="26"/>
        </w:rPr>
      </w:pPr>
      <w:r w:rsidRPr="00CF6678">
        <w:rPr>
          <w:b/>
          <w:bCs/>
          <w:sz w:val="26"/>
          <w:szCs w:val="26"/>
        </w:rPr>
        <w:t xml:space="preserve">2. Mục tiêu: </w:t>
      </w:r>
    </w:p>
    <w:p w:rsidR="00F96B13" w:rsidRPr="00CF6678" w:rsidRDefault="00F96B13" w:rsidP="00F96B13">
      <w:pPr>
        <w:spacing w:line="380" w:lineRule="exact"/>
        <w:jc w:val="both"/>
        <w:rPr>
          <w:i/>
          <w:sz w:val="26"/>
          <w:szCs w:val="26"/>
        </w:rPr>
      </w:pPr>
      <w:r w:rsidRPr="00CF6678">
        <w:rPr>
          <w:i/>
          <w:sz w:val="26"/>
          <w:szCs w:val="26"/>
        </w:rPr>
        <w:t xml:space="preserve">        1. Xác định một số chỉ số </w:t>
      </w:r>
      <w:r w:rsidRPr="00CF6678">
        <w:rPr>
          <w:rFonts w:hint="eastAsia"/>
          <w:i/>
          <w:sz w:val="26"/>
          <w:szCs w:val="26"/>
        </w:rPr>
        <w:t>đ</w:t>
      </w:r>
      <w:r w:rsidRPr="00CF6678">
        <w:rPr>
          <w:i/>
          <w:sz w:val="26"/>
          <w:szCs w:val="26"/>
        </w:rPr>
        <w:t xml:space="preserve">iện thế kích thích thị giác (VEP) trên trẻ em bình thường và trẻ em nhược thị lứa tuổi 6 </w:t>
      </w:r>
      <w:r w:rsidRPr="00CF6678">
        <w:rPr>
          <w:rFonts w:hint="eastAsia"/>
          <w:i/>
          <w:sz w:val="26"/>
          <w:szCs w:val="26"/>
        </w:rPr>
        <w:t>đ</w:t>
      </w:r>
      <w:r w:rsidRPr="00CF6678">
        <w:rPr>
          <w:i/>
          <w:sz w:val="26"/>
          <w:szCs w:val="26"/>
        </w:rPr>
        <w:t>ến 14 tuổi.</w:t>
      </w:r>
    </w:p>
    <w:p w:rsidR="00F96B13" w:rsidRPr="00CF6678" w:rsidRDefault="00F96B13" w:rsidP="00F96B13">
      <w:pPr>
        <w:spacing w:line="380" w:lineRule="exact"/>
        <w:jc w:val="both"/>
        <w:rPr>
          <w:i/>
          <w:sz w:val="26"/>
          <w:szCs w:val="26"/>
        </w:rPr>
      </w:pPr>
      <w:r w:rsidRPr="00CF6678">
        <w:rPr>
          <w:i/>
          <w:sz w:val="26"/>
          <w:szCs w:val="26"/>
        </w:rPr>
        <w:t xml:space="preserve">        2. </w:t>
      </w:r>
      <w:r w:rsidRPr="00CF6678">
        <w:rPr>
          <w:rFonts w:hint="eastAsia"/>
          <w:i/>
          <w:sz w:val="26"/>
          <w:szCs w:val="26"/>
        </w:rPr>
        <w:t>Đ</w:t>
      </w:r>
      <w:r w:rsidRPr="00CF6678">
        <w:rPr>
          <w:i/>
          <w:sz w:val="26"/>
          <w:szCs w:val="26"/>
        </w:rPr>
        <w:t>ánh giá sự biến đổi thời gian tiềm tàng, điện thế, thời gian liên đỉnh các sóng N</w:t>
      </w:r>
      <w:r w:rsidRPr="00CF6678">
        <w:rPr>
          <w:i/>
          <w:sz w:val="26"/>
          <w:szCs w:val="26"/>
          <w:vertAlign w:val="subscript"/>
        </w:rPr>
        <w:t>75</w:t>
      </w:r>
      <w:r w:rsidRPr="00CF6678">
        <w:rPr>
          <w:i/>
          <w:sz w:val="26"/>
          <w:szCs w:val="26"/>
        </w:rPr>
        <w:t>, P</w:t>
      </w:r>
      <w:r w:rsidRPr="00CF6678">
        <w:rPr>
          <w:i/>
          <w:sz w:val="26"/>
          <w:szCs w:val="26"/>
          <w:vertAlign w:val="subscript"/>
        </w:rPr>
        <w:t>100</w:t>
      </w:r>
      <w:r w:rsidRPr="00CF6678">
        <w:rPr>
          <w:i/>
          <w:sz w:val="26"/>
          <w:szCs w:val="26"/>
        </w:rPr>
        <w:t>, N</w:t>
      </w:r>
      <w:r w:rsidRPr="00CF6678">
        <w:rPr>
          <w:i/>
          <w:sz w:val="26"/>
          <w:szCs w:val="26"/>
          <w:vertAlign w:val="subscript"/>
        </w:rPr>
        <w:t>145</w:t>
      </w:r>
      <w:r w:rsidRPr="00CF6678">
        <w:rPr>
          <w:i/>
          <w:sz w:val="26"/>
          <w:szCs w:val="26"/>
        </w:rPr>
        <w:t xml:space="preserve"> trên trẻ em nhược thị.</w:t>
      </w:r>
    </w:p>
    <w:p w:rsidR="00F96B13" w:rsidRPr="00CF6678" w:rsidRDefault="00F96B13" w:rsidP="00F96B13">
      <w:pPr>
        <w:spacing w:line="380" w:lineRule="exact"/>
        <w:rPr>
          <w:b/>
          <w:bCs/>
          <w:sz w:val="26"/>
          <w:szCs w:val="26"/>
          <w:lang w:val="pt-BR"/>
        </w:rPr>
      </w:pPr>
      <w:r w:rsidRPr="00CF6678">
        <w:rPr>
          <w:b/>
          <w:bCs/>
          <w:sz w:val="26"/>
          <w:szCs w:val="26"/>
          <w:lang w:val="pt-BR"/>
        </w:rPr>
        <w:t>3. Tính mới và sáng tạo:</w:t>
      </w:r>
    </w:p>
    <w:p w:rsidR="00F96B13" w:rsidRPr="00CF6678" w:rsidRDefault="00F96B13" w:rsidP="00F96B13">
      <w:pPr>
        <w:spacing w:line="380" w:lineRule="exact"/>
        <w:ind w:firstLine="720"/>
        <w:jc w:val="both"/>
        <w:rPr>
          <w:b/>
          <w:bCs/>
          <w:sz w:val="26"/>
          <w:szCs w:val="26"/>
          <w:lang w:val="vi-VN"/>
        </w:rPr>
      </w:pPr>
      <w:r w:rsidRPr="00CF6678">
        <w:rPr>
          <w:bCs/>
          <w:sz w:val="26"/>
          <w:szCs w:val="26"/>
          <w:lang w:val="vi-VN"/>
        </w:rPr>
        <w:t>Sử dụng phương pháp ghi điện thế kích thích thị giác (VEP) với kích thích bằng màn hình đảo, đề tài đã xác định chính xác các chỉ số thời gian tiềm tàng, điện thế liên đỉnh và thời gian liên đỉnh trung bình của 60 trẻ em bình thường và 126 bệnh nhi nhược thị cơ năng tạo cơ sở khoa học cho công tác chẩn đoán và theo dõi điều trị nhược thị ở trẻ em. Đây là nghiên cứu xác định các chỉ số điện thế kích thích thị giác ở trẻ em đầu tiên được thực hiện ở Việt Nam, có ý nghĩa khoa học, giá trị thực tiễn và nhân văn.</w:t>
      </w:r>
    </w:p>
    <w:p w:rsidR="00F96B13" w:rsidRPr="00CF6678" w:rsidRDefault="00F96B13" w:rsidP="00F96B13">
      <w:pPr>
        <w:spacing w:line="380" w:lineRule="exact"/>
        <w:rPr>
          <w:b/>
          <w:bCs/>
          <w:sz w:val="26"/>
          <w:szCs w:val="26"/>
          <w:lang w:val="vi-VN"/>
        </w:rPr>
      </w:pPr>
      <w:r w:rsidRPr="00CF6678">
        <w:rPr>
          <w:b/>
          <w:bCs/>
          <w:sz w:val="26"/>
          <w:szCs w:val="26"/>
          <w:lang w:val="vi-VN"/>
        </w:rPr>
        <w:t>4. Kết quả nghiên cứu:</w:t>
      </w:r>
    </w:p>
    <w:p w:rsidR="00F96B13" w:rsidRPr="003F6938" w:rsidRDefault="00F96B13" w:rsidP="00F96B13">
      <w:pPr>
        <w:spacing w:line="380" w:lineRule="exact"/>
        <w:ind w:right="-1" w:firstLine="720"/>
        <w:jc w:val="both"/>
        <w:rPr>
          <w:bCs/>
          <w:spacing w:val="-4"/>
          <w:sz w:val="26"/>
          <w:szCs w:val="26"/>
          <w:lang w:val="vi-VN"/>
        </w:rPr>
      </w:pPr>
      <w:r w:rsidRPr="003F6938">
        <w:rPr>
          <w:bCs/>
          <w:spacing w:val="-4"/>
          <w:sz w:val="26"/>
          <w:szCs w:val="26"/>
          <w:lang w:val="vi-VN"/>
        </w:rPr>
        <w:t>Đây là nghiên cứu đầu tiên của Việt Nam về mô tả đặc điểm và xây dựng chỉ số VEP tham chiếu trên nhóm trẻ em bình thường khỏe mạnh lứa tuổi từ 6 đến 14 tuổi.</w:t>
      </w:r>
    </w:p>
    <w:p w:rsidR="00F96B13" w:rsidRPr="00CF6678" w:rsidRDefault="00F96B13" w:rsidP="00F96B13">
      <w:pPr>
        <w:spacing w:line="380" w:lineRule="exact"/>
        <w:ind w:right="-1" w:firstLine="720"/>
        <w:jc w:val="both"/>
        <w:rPr>
          <w:bCs/>
          <w:sz w:val="26"/>
          <w:szCs w:val="26"/>
          <w:lang w:val="vi-VN"/>
        </w:rPr>
      </w:pPr>
      <w:r w:rsidRPr="00CF6678">
        <w:rPr>
          <w:bCs/>
          <w:sz w:val="26"/>
          <w:szCs w:val="26"/>
          <w:lang w:val="vi-VN"/>
        </w:rPr>
        <w:t>Nghiên cứu đã chỉ ra sự khác biệt về hình dạng sóng cũng như sự khác biệt rõ rệt về các chỉ số TGTT, ĐT</w:t>
      </w:r>
      <w:r w:rsidRPr="00CF6678">
        <w:rPr>
          <w:sz w:val="26"/>
          <w:szCs w:val="26"/>
          <w:lang w:val="vi-VN"/>
        </w:rPr>
        <w:t>L</w:t>
      </w:r>
      <w:r w:rsidRPr="00CF6678">
        <w:rPr>
          <w:bCs/>
          <w:sz w:val="26"/>
          <w:szCs w:val="26"/>
          <w:lang w:val="vi-VN"/>
        </w:rPr>
        <w:t>Đ, TGLĐ của các sóng VEP ở nhóm trẻ nhược thị so với nhóm trẻ bình thường. Đây có thể là một tài liệu tham khảo hữu ích cho các bác sĩ thăm dò chức năng thần kinh và các bác sĩ nhãn khoa ở nước ta để cập nhật thông tin cho một lĩnh vực mới và phức tạp.</w:t>
      </w:r>
    </w:p>
    <w:p w:rsidR="00F96B13" w:rsidRPr="00CF6678" w:rsidRDefault="00F96B13" w:rsidP="00F96B13">
      <w:pPr>
        <w:spacing w:line="380" w:lineRule="exact"/>
        <w:rPr>
          <w:b/>
          <w:bCs/>
          <w:sz w:val="26"/>
          <w:szCs w:val="26"/>
          <w:lang w:val="vi-VN"/>
        </w:rPr>
      </w:pPr>
      <w:r>
        <w:rPr>
          <w:b/>
          <w:bCs/>
          <w:sz w:val="26"/>
          <w:szCs w:val="26"/>
          <w:lang w:val="vi-VN"/>
        </w:rPr>
        <w:br w:type="page"/>
      </w:r>
      <w:r w:rsidRPr="00CF6678">
        <w:rPr>
          <w:b/>
          <w:bCs/>
          <w:sz w:val="26"/>
          <w:szCs w:val="26"/>
          <w:lang w:val="vi-VN"/>
        </w:rPr>
        <w:lastRenderedPageBreak/>
        <w:t xml:space="preserve">5. Sản phẩm: </w:t>
      </w:r>
    </w:p>
    <w:p w:rsidR="00F96B13" w:rsidRPr="00CF6678" w:rsidRDefault="00F96B13" w:rsidP="00F96B13">
      <w:pPr>
        <w:spacing w:line="380" w:lineRule="exact"/>
        <w:ind w:firstLine="720"/>
        <w:jc w:val="both"/>
        <w:rPr>
          <w:sz w:val="26"/>
          <w:szCs w:val="26"/>
          <w:lang w:val="pt-BR"/>
        </w:rPr>
      </w:pPr>
      <w:r w:rsidRPr="00CF6678">
        <w:rPr>
          <w:sz w:val="26"/>
          <w:szCs w:val="26"/>
          <w:lang w:val="pt-BR"/>
        </w:rPr>
        <w:t>1. N</w:t>
      </w:r>
      <w:r w:rsidRPr="00CF6678">
        <w:rPr>
          <w:spacing w:val="-4"/>
          <w:sz w:val="26"/>
          <w:szCs w:val="26"/>
          <w:lang w:val="pt-BR"/>
        </w:rPr>
        <w:t>guyễn Thế Tùng, Nguyễn Thị Thu Hiền, Lê Đình Tùng (2014)</w:t>
      </w:r>
      <w:r>
        <w:rPr>
          <w:spacing w:val="-4"/>
          <w:sz w:val="26"/>
          <w:szCs w:val="26"/>
          <w:lang w:val="pt-BR"/>
        </w:rPr>
        <w:t>,</w:t>
      </w:r>
      <w:r w:rsidRPr="00CF6678">
        <w:rPr>
          <w:spacing w:val="-4"/>
          <w:sz w:val="26"/>
          <w:szCs w:val="26"/>
          <w:lang w:val="pt-BR"/>
        </w:rPr>
        <w:t xml:space="preserve"> </w:t>
      </w:r>
      <w:r>
        <w:rPr>
          <w:spacing w:val="-4"/>
          <w:sz w:val="26"/>
          <w:szCs w:val="26"/>
          <w:lang w:val="pt-BR"/>
        </w:rPr>
        <w:t>"</w:t>
      </w:r>
      <w:r w:rsidRPr="00CF6678">
        <w:rPr>
          <w:spacing w:val="-4"/>
          <w:sz w:val="26"/>
          <w:szCs w:val="26"/>
          <w:lang w:val="pt-BR"/>
        </w:rPr>
        <w:t>Khảo sát sự biến đổi một số chỉ số điện thế kích thích thị giác trên trẻ nhược thị</w:t>
      </w:r>
      <w:r>
        <w:rPr>
          <w:spacing w:val="-4"/>
          <w:sz w:val="26"/>
          <w:szCs w:val="26"/>
          <w:lang w:val="pt-BR"/>
        </w:rPr>
        <w:t>"</w:t>
      </w:r>
      <w:r w:rsidRPr="00CF6678">
        <w:rPr>
          <w:spacing w:val="-4"/>
          <w:sz w:val="26"/>
          <w:szCs w:val="26"/>
          <w:lang w:val="pt-BR"/>
        </w:rPr>
        <w:t xml:space="preserve">, </w:t>
      </w:r>
      <w:r w:rsidRPr="00CF6678">
        <w:rPr>
          <w:i/>
          <w:spacing w:val="-4"/>
          <w:sz w:val="26"/>
          <w:szCs w:val="26"/>
          <w:lang w:val="pt-BR"/>
        </w:rPr>
        <w:t>Tạp chí Sinh lý học Việt Nam,</w:t>
      </w:r>
      <w:r w:rsidRPr="00CF6678">
        <w:rPr>
          <w:spacing w:val="-4"/>
          <w:sz w:val="26"/>
          <w:szCs w:val="26"/>
          <w:lang w:val="pt-BR"/>
        </w:rPr>
        <w:t xml:space="preserve"> 18(5) </w:t>
      </w:r>
      <w:r>
        <w:rPr>
          <w:spacing w:val="-4"/>
          <w:sz w:val="26"/>
          <w:szCs w:val="26"/>
          <w:lang w:val="pt-BR"/>
        </w:rPr>
        <w:t>tr.</w:t>
      </w:r>
      <w:r w:rsidRPr="00CF6678">
        <w:rPr>
          <w:spacing w:val="-4"/>
          <w:sz w:val="26"/>
          <w:szCs w:val="26"/>
          <w:lang w:val="pt-BR"/>
        </w:rPr>
        <w:t xml:space="preserve"> 23 - 27.</w:t>
      </w:r>
    </w:p>
    <w:p w:rsidR="00F96B13" w:rsidRPr="00CF6678" w:rsidRDefault="00F96B13" w:rsidP="00F96B13">
      <w:pPr>
        <w:spacing w:line="380" w:lineRule="exact"/>
        <w:ind w:firstLine="720"/>
        <w:jc w:val="both"/>
        <w:rPr>
          <w:sz w:val="26"/>
          <w:szCs w:val="26"/>
          <w:lang w:val="pt-BR"/>
        </w:rPr>
      </w:pPr>
      <w:r w:rsidRPr="00CF6678">
        <w:rPr>
          <w:sz w:val="26"/>
          <w:szCs w:val="26"/>
          <w:lang w:val="pt-BR"/>
        </w:rPr>
        <w:t>2. Nguyễn Thế Tùng, Lê Ngọc Hưng, Lê Đình Tùng, Nguyễn Thị Thu Hiền (2015)</w:t>
      </w:r>
      <w:r>
        <w:rPr>
          <w:sz w:val="26"/>
          <w:szCs w:val="26"/>
          <w:lang w:val="pt-BR"/>
        </w:rPr>
        <w:t>,</w:t>
      </w:r>
      <w:r w:rsidRPr="00CF6678">
        <w:rPr>
          <w:sz w:val="26"/>
          <w:szCs w:val="26"/>
          <w:lang w:val="pt-BR"/>
        </w:rPr>
        <w:t xml:space="preserve"> </w:t>
      </w:r>
      <w:r>
        <w:rPr>
          <w:sz w:val="26"/>
          <w:szCs w:val="26"/>
          <w:lang w:val="pt-BR"/>
        </w:rPr>
        <w:t>"</w:t>
      </w:r>
      <w:r w:rsidRPr="00CF6678">
        <w:rPr>
          <w:sz w:val="26"/>
          <w:szCs w:val="26"/>
          <w:lang w:val="pt-BR"/>
        </w:rPr>
        <w:t>Một số đặc điểm điện thế kích thích thị giác (VEP) trên trẻ em bình thường lứa tuổi từ 6 đến 14</w:t>
      </w:r>
      <w:r>
        <w:rPr>
          <w:sz w:val="26"/>
          <w:szCs w:val="26"/>
          <w:lang w:val="pt-BR"/>
        </w:rPr>
        <w:t>"</w:t>
      </w:r>
      <w:r w:rsidRPr="00CF6678">
        <w:rPr>
          <w:sz w:val="26"/>
          <w:szCs w:val="26"/>
          <w:lang w:val="pt-BR"/>
        </w:rPr>
        <w:t>,</w:t>
      </w:r>
      <w:r w:rsidRPr="00CF6678">
        <w:rPr>
          <w:i/>
          <w:sz w:val="26"/>
          <w:szCs w:val="26"/>
          <w:lang w:val="pt-BR"/>
        </w:rPr>
        <w:t xml:space="preserve"> Tạp chí Sinh lý học Việt Nam</w:t>
      </w:r>
      <w:r>
        <w:rPr>
          <w:i/>
          <w:sz w:val="26"/>
          <w:szCs w:val="26"/>
          <w:lang w:val="pt-BR"/>
        </w:rPr>
        <w:t>,</w:t>
      </w:r>
      <w:r w:rsidRPr="00CF6678">
        <w:rPr>
          <w:sz w:val="26"/>
          <w:szCs w:val="26"/>
          <w:lang w:val="pt-BR"/>
        </w:rPr>
        <w:t xml:space="preserve"> 19(3)</w:t>
      </w:r>
      <w:r>
        <w:rPr>
          <w:sz w:val="26"/>
          <w:szCs w:val="26"/>
          <w:lang w:val="pt-BR"/>
        </w:rPr>
        <w:t>,</w:t>
      </w:r>
      <w:r w:rsidRPr="00CF6678">
        <w:rPr>
          <w:sz w:val="26"/>
          <w:szCs w:val="26"/>
          <w:lang w:val="pt-BR"/>
        </w:rPr>
        <w:t xml:space="preserve"> </w:t>
      </w:r>
      <w:r>
        <w:rPr>
          <w:sz w:val="26"/>
          <w:szCs w:val="26"/>
          <w:lang w:val="pt-BR"/>
        </w:rPr>
        <w:t>tr.</w:t>
      </w:r>
      <w:r w:rsidRPr="00CF6678">
        <w:rPr>
          <w:sz w:val="26"/>
          <w:szCs w:val="26"/>
          <w:lang w:val="pt-BR"/>
        </w:rPr>
        <w:t xml:space="preserve"> 26 – 31. </w:t>
      </w:r>
    </w:p>
    <w:p w:rsidR="00F96B13" w:rsidRPr="00CF6678" w:rsidRDefault="00F96B13" w:rsidP="00F96B13">
      <w:pPr>
        <w:spacing w:line="380" w:lineRule="exact"/>
        <w:ind w:firstLine="720"/>
        <w:jc w:val="both"/>
        <w:rPr>
          <w:sz w:val="26"/>
          <w:szCs w:val="26"/>
          <w:lang w:val="pt-BR"/>
        </w:rPr>
      </w:pPr>
      <w:r w:rsidRPr="00CF6678">
        <w:rPr>
          <w:sz w:val="26"/>
          <w:szCs w:val="26"/>
          <w:lang w:val="pt-BR"/>
        </w:rPr>
        <w:t>3. Nguyễn Thế Tùng, Lê Ngọc Hưng, Lê Đình Tùng, Nguyễn Thị Thu Hiền (2016)</w:t>
      </w:r>
      <w:r>
        <w:rPr>
          <w:sz w:val="26"/>
          <w:szCs w:val="26"/>
          <w:lang w:val="pt-BR"/>
        </w:rPr>
        <w:t>,</w:t>
      </w:r>
      <w:r w:rsidRPr="00CF6678">
        <w:rPr>
          <w:i/>
          <w:sz w:val="26"/>
          <w:szCs w:val="26"/>
          <w:lang w:val="pt-BR"/>
        </w:rPr>
        <w:t xml:space="preserve"> </w:t>
      </w:r>
      <w:r w:rsidRPr="007C03B8">
        <w:rPr>
          <w:sz w:val="26"/>
          <w:szCs w:val="26"/>
          <w:lang w:val="pt-BR"/>
        </w:rPr>
        <w:t>"</w:t>
      </w:r>
      <w:r w:rsidRPr="00CF6678">
        <w:rPr>
          <w:sz w:val="26"/>
          <w:szCs w:val="26"/>
          <w:lang w:val="pt-BR"/>
        </w:rPr>
        <w:t>Biến đổi thời gian tiềm tàng và biên độ của các sóng điện thế kích thích thị giác (VEP) trên trẻ em nhược thị</w:t>
      </w:r>
      <w:r>
        <w:rPr>
          <w:sz w:val="26"/>
          <w:szCs w:val="26"/>
          <w:lang w:val="pt-BR"/>
        </w:rPr>
        <w:t>",</w:t>
      </w:r>
      <w:r w:rsidRPr="00CF6678">
        <w:rPr>
          <w:sz w:val="26"/>
          <w:szCs w:val="26"/>
          <w:lang w:val="pt-BR"/>
        </w:rPr>
        <w:t xml:space="preserve"> </w:t>
      </w:r>
      <w:r w:rsidRPr="00CF6678">
        <w:rPr>
          <w:i/>
          <w:sz w:val="26"/>
          <w:szCs w:val="26"/>
          <w:lang w:val="pt-BR"/>
        </w:rPr>
        <w:t>Tạp chí Y học Việt Nam,</w:t>
      </w:r>
      <w:r w:rsidRPr="00CF6678">
        <w:rPr>
          <w:sz w:val="26"/>
          <w:szCs w:val="26"/>
          <w:lang w:val="pt-BR"/>
        </w:rPr>
        <w:t xml:space="preserve"> 439(2)</w:t>
      </w:r>
      <w:r>
        <w:rPr>
          <w:sz w:val="26"/>
          <w:szCs w:val="26"/>
          <w:lang w:val="pt-BR"/>
        </w:rPr>
        <w:t>,</w:t>
      </w:r>
      <w:r w:rsidRPr="00CF6678">
        <w:rPr>
          <w:sz w:val="26"/>
          <w:szCs w:val="26"/>
          <w:lang w:val="pt-BR"/>
        </w:rPr>
        <w:t xml:space="preserve"> </w:t>
      </w:r>
      <w:r>
        <w:rPr>
          <w:sz w:val="26"/>
          <w:szCs w:val="26"/>
          <w:lang w:val="pt-BR"/>
        </w:rPr>
        <w:t>tr.</w:t>
      </w:r>
      <w:r w:rsidRPr="00CF6678">
        <w:rPr>
          <w:sz w:val="26"/>
          <w:szCs w:val="26"/>
          <w:lang w:val="pt-BR"/>
        </w:rPr>
        <w:t xml:space="preserve"> 23-27.</w:t>
      </w:r>
    </w:p>
    <w:p w:rsidR="00F96B13" w:rsidRPr="00CF6678" w:rsidRDefault="00F96B13" w:rsidP="00F96B13">
      <w:pPr>
        <w:spacing w:line="380" w:lineRule="exact"/>
        <w:ind w:firstLine="720"/>
        <w:jc w:val="both"/>
        <w:rPr>
          <w:sz w:val="26"/>
          <w:szCs w:val="26"/>
          <w:lang w:val="pt-BR"/>
        </w:rPr>
      </w:pPr>
      <w:r w:rsidRPr="00CF6678">
        <w:rPr>
          <w:sz w:val="26"/>
          <w:szCs w:val="26"/>
          <w:lang w:val="pt-BR"/>
        </w:rPr>
        <w:t>4. Nguyễn Thế Tùng, Lê Ngọc Hưng, Lê Đình Tùng, Nguyễn Thị Thu Hiền (2016)</w:t>
      </w:r>
      <w:r>
        <w:rPr>
          <w:sz w:val="26"/>
          <w:szCs w:val="26"/>
          <w:lang w:val="pt-BR"/>
        </w:rPr>
        <w:t>,</w:t>
      </w:r>
      <w:r w:rsidRPr="00CF6678">
        <w:rPr>
          <w:sz w:val="26"/>
          <w:szCs w:val="26"/>
          <w:lang w:val="pt-BR"/>
        </w:rPr>
        <w:t xml:space="preserve"> </w:t>
      </w:r>
      <w:r>
        <w:rPr>
          <w:sz w:val="26"/>
          <w:szCs w:val="26"/>
          <w:lang w:val="pt-BR"/>
        </w:rPr>
        <w:t>"</w:t>
      </w:r>
      <w:r w:rsidRPr="00CF6678">
        <w:rPr>
          <w:sz w:val="26"/>
          <w:szCs w:val="26"/>
          <w:lang w:val="pt-BR"/>
        </w:rPr>
        <w:t>Đặc điểm điện thế kích thích thị giác ở trẻ nhược thị do lác trong điều tiết toàn phần và do tật khúc xạ</w:t>
      </w:r>
      <w:r>
        <w:rPr>
          <w:sz w:val="26"/>
          <w:szCs w:val="26"/>
          <w:lang w:val="pt-BR"/>
        </w:rPr>
        <w:t>",</w:t>
      </w:r>
      <w:r w:rsidRPr="00CF6678">
        <w:rPr>
          <w:sz w:val="26"/>
          <w:szCs w:val="26"/>
          <w:lang w:val="pt-BR"/>
        </w:rPr>
        <w:t xml:space="preserve"> </w:t>
      </w:r>
      <w:r w:rsidRPr="00CF6678">
        <w:rPr>
          <w:i/>
          <w:sz w:val="26"/>
          <w:szCs w:val="26"/>
          <w:lang w:val="pt-BR"/>
        </w:rPr>
        <w:t>Tạp chí Sinh lý học Việt Nam</w:t>
      </w:r>
      <w:r>
        <w:rPr>
          <w:i/>
          <w:sz w:val="26"/>
          <w:szCs w:val="26"/>
          <w:lang w:val="pt-BR"/>
        </w:rPr>
        <w:t>,</w:t>
      </w:r>
      <w:r w:rsidRPr="00CF6678">
        <w:rPr>
          <w:sz w:val="26"/>
          <w:szCs w:val="26"/>
          <w:lang w:val="pt-BR"/>
        </w:rPr>
        <w:t xml:space="preserve"> 20(4)</w:t>
      </w:r>
      <w:r>
        <w:rPr>
          <w:sz w:val="26"/>
          <w:szCs w:val="26"/>
          <w:lang w:val="pt-BR"/>
        </w:rPr>
        <w:t>,</w:t>
      </w:r>
      <w:r w:rsidRPr="00CF6678">
        <w:rPr>
          <w:sz w:val="26"/>
          <w:szCs w:val="26"/>
          <w:lang w:val="pt-BR"/>
        </w:rPr>
        <w:t xml:space="preserve"> </w:t>
      </w:r>
      <w:r>
        <w:rPr>
          <w:sz w:val="26"/>
          <w:szCs w:val="26"/>
          <w:lang w:val="pt-BR"/>
        </w:rPr>
        <w:t>tr.</w:t>
      </w:r>
      <w:r w:rsidRPr="00CF6678">
        <w:rPr>
          <w:sz w:val="26"/>
          <w:szCs w:val="26"/>
          <w:lang w:val="pt-BR"/>
        </w:rPr>
        <w:t xml:space="preserve"> 113 – 116.</w:t>
      </w:r>
    </w:p>
    <w:p w:rsidR="00F96B13" w:rsidRPr="003F6938" w:rsidRDefault="00F96B13" w:rsidP="00F96B13">
      <w:pPr>
        <w:spacing w:line="380" w:lineRule="exact"/>
        <w:ind w:firstLine="720"/>
        <w:jc w:val="both"/>
        <w:rPr>
          <w:spacing w:val="-2"/>
          <w:sz w:val="26"/>
          <w:szCs w:val="26"/>
          <w:lang w:val="pt-BR"/>
        </w:rPr>
      </w:pPr>
      <w:r w:rsidRPr="003F6938">
        <w:rPr>
          <w:spacing w:val="-2"/>
          <w:sz w:val="26"/>
          <w:szCs w:val="26"/>
          <w:lang w:val="pt-BR"/>
        </w:rPr>
        <w:t>5.. Nguyễn Thế Tùng, Lê Ngọc Hưng, Lê Đình Tùng, Nguyễn Thị Thu Hiền (2017)</w:t>
      </w:r>
      <w:r>
        <w:rPr>
          <w:spacing w:val="-2"/>
          <w:sz w:val="26"/>
          <w:szCs w:val="26"/>
          <w:lang w:val="pt-BR"/>
        </w:rPr>
        <w:t>,</w:t>
      </w:r>
      <w:r w:rsidRPr="003F6938">
        <w:rPr>
          <w:spacing w:val="-2"/>
          <w:sz w:val="26"/>
          <w:szCs w:val="26"/>
          <w:lang w:val="pt-BR"/>
        </w:rPr>
        <w:t xml:space="preserve"> </w:t>
      </w:r>
      <w:r>
        <w:rPr>
          <w:spacing w:val="-2"/>
          <w:sz w:val="26"/>
          <w:szCs w:val="26"/>
          <w:lang w:val="pt-BR"/>
        </w:rPr>
        <w:t>"</w:t>
      </w:r>
      <w:r w:rsidRPr="003F6938">
        <w:rPr>
          <w:spacing w:val="-2"/>
          <w:sz w:val="26"/>
          <w:szCs w:val="26"/>
          <w:lang w:val="pt-BR"/>
        </w:rPr>
        <w:t>Đặc điểm hình dạng sóng điện thế kích thích thị giác ở trẻ bình thường và trẻ nhược thị</w:t>
      </w:r>
      <w:r>
        <w:rPr>
          <w:spacing w:val="-2"/>
          <w:sz w:val="26"/>
          <w:szCs w:val="26"/>
          <w:lang w:val="pt-BR"/>
        </w:rPr>
        <w:t>",</w:t>
      </w:r>
      <w:r w:rsidRPr="003F6938">
        <w:rPr>
          <w:spacing w:val="-2"/>
          <w:sz w:val="26"/>
          <w:szCs w:val="26"/>
          <w:lang w:val="pt-BR"/>
        </w:rPr>
        <w:t xml:space="preserve"> </w:t>
      </w:r>
      <w:r w:rsidRPr="003F6938">
        <w:rPr>
          <w:i/>
          <w:spacing w:val="-2"/>
          <w:sz w:val="26"/>
          <w:szCs w:val="26"/>
          <w:lang w:val="pt-BR"/>
        </w:rPr>
        <w:t>Tạp chí Y học Thực hành</w:t>
      </w:r>
      <w:r>
        <w:rPr>
          <w:i/>
          <w:spacing w:val="-2"/>
          <w:sz w:val="26"/>
          <w:szCs w:val="26"/>
          <w:lang w:val="pt-BR"/>
        </w:rPr>
        <w:t>,</w:t>
      </w:r>
      <w:r w:rsidRPr="003F6938">
        <w:rPr>
          <w:spacing w:val="-2"/>
          <w:sz w:val="26"/>
          <w:szCs w:val="26"/>
          <w:lang w:val="pt-BR"/>
        </w:rPr>
        <w:t xml:space="preserve"> Năm thứ sáu hai</w:t>
      </w:r>
      <w:r>
        <w:rPr>
          <w:spacing w:val="-2"/>
          <w:sz w:val="26"/>
          <w:szCs w:val="26"/>
          <w:lang w:val="pt-BR"/>
        </w:rPr>
        <w:t>,</w:t>
      </w:r>
      <w:r w:rsidRPr="003F6938">
        <w:rPr>
          <w:spacing w:val="-2"/>
          <w:sz w:val="26"/>
          <w:szCs w:val="26"/>
          <w:lang w:val="pt-BR"/>
        </w:rPr>
        <w:t xml:space="preserve"> số 6 (1045)</w:t>
      </w:r>
      <w:r>
        <w:rPr>
          <w:spacing w:val="-2"/>
          <w:sz w:val="26"/>
          <w:szCs w:val="26"/>
          <w:lang w:val="pt-BR"/>
        </w:rPr>
        <w:t>,</w:t>
      </w:r>
      <w:r w:rsidRPr="003F6938">
        <w:rPr>
          <w:spacing w:val="-2"/>
          <w:sz w:val="26"/>
          <w:szCs w:val="26"/>
          <w:lang w:val="pt-BR"/>
        </w:rPr>
        <w:t xml:space="preserve"> tr</w:t>
      </w:r>
      <w:r>
        <w:rPr>
          <w:spacing w:val="-2"/>
          <w:sz w:val="26"/>
          <w:szCs w:val="26"/>
          <w:lang w:val="pt-BR"/>
        </w:rPr>
        <w:t xml:space="preserve">. </w:t>
      </w:r>
      <w:r w:rsidRPr="003F6938">
        <w:rPr>
          <w:spacing w:val="-2"/>
          <w:sz w:val="26"/>
          <w:szCs w:val="26"/>
          <w:lang w:val="pt-BR"/>
        </w:rPr>
        <w:t>50 – 52.</w:t>
      </w:r>
    </w:p>
    <w:p w:rsidR="00F96B13" w:rsidRPr="00CF6678" w:rsidRDefault="00F96B13" w:rsidP="00F96B13">
      <w:pPr>
        <w:spacing w:line="380" w:lineRule="exact"/>
        <w:rPr>
          <w:b/>
          <w:bCs/>
          <w:sz w:val="26"/>
          <w:szCs w:val="26"/>
          <w:lang w:val="pt-BR"/>
        </w:rPr>
      </w:pPr>
      <w:r w:rsidRPr="00CF6678">
        <w:rPr>
          <w:b/>
          <w:bCs/>
          <w:sz w:val="26"/>
          <w:szCs w:val="26"/>
          <w:lang w:val="pt-BR"/>
        </w:rPr>
        <w:t xml:space="preserve">6. Phương thức chuyển giao, địa chỉ ứng dụng, tác động và lợi ích mang lại của kết quả nghiên cứu: </w:t>
      </w:r>
    </w:p>
    <w:p w:rsidR="00F96B13" w:rsidRPr="00CF6678" w:rsidRDefault="00F96B13" w:rsidP="00F96B13">
      <w:pPr>
        <w:spacing w:line="380" w:lineRule="exact"/>
        <w:ind w:firstLine="720"/>
        <w:jc w:val="both"/>
        <w:rPr>
          <w:sz w:val="26"/>
          <w:szCs w:val="26"/>
          <w:lang w:val="pt-BR"/>
        </w:rPr>
      </w:pPr>
      <w:r w:rsidRPr="00CF6678">
        <w:rPr>
          <w:sz w:val="26"/>
          <w:szCs w:val="26"/>
          <w:lang w:val="pt-BR"/>
        </w:rPr>
        <w:t>Ứng dụng một kỹ thuật thăm dò chức năng chuyên sâu trong lĩnh vực thăm dò chức năng thần kinh.</w:t>
      </w:r>
    </w:p>
    <w:p w:rsidR="00F96B13" w:rsidRPr="00CF6678" w:rsidRDefault="00F96B13" w:rsidP="00F96B13">
      <w:pPr>
        <w:spacing w:line="380" w:lineRule="exact"/>
        <w:ind w:firstLine="720"/>
        <w:jc w:val="both"/>
        <w:rPr>
          <w:sz w:val="26"/>
          <w:szCs w:val="26"/>
          <w:lang w:val="pt-BR"/>
        </w:rPr>
      </w:pPr>
      <w:r w:rsidRPr="00CF6678">
        <w:rPr>
          <w:sz w:val="26"/>
          <w:szCs w:val="26"/>
          <w:lang w:val="pt-BR"/>
        </w:rPr>
        <w:t>Góp phần nâng cao hiệu quả trong chẩn đoán và theo dõi điều trị trên trẻ em nhược thị trên lâm sàng.</w:t>
      </w:r>
    </w:p>
    <w:p w:rsidR="00F96B13" w:rsidRDefault="00F96B13" w:rsidP="00F96B13">
      <w:pPr>
        <w:spacing w:line="380" w:lineRule="exact"/>
        <w:ind w:firstLine="720"/>
        <w:jc w:val="both"/>
        <w:rPr>
          <w:sz w:val="26"/>
          <w:szCs w:val="26"/>
          <w:lang w:val="pt-BR"/>
        </w:rPr>
      </w:pPr>
      <w:r w:rsidRPr="00CF6678">
        <w:rPr>
          <w:sz w:val="26"/>
          <w:szCs w:val="26"/>
          <w:lang w:val="pt-BR"/>
        </w:rPr>
        <w:t xml:space="preserve">Đưa ra những kiến thức sâu về thăm dò chức năng thần kinh và các tiến bộ mới trong chẩn đoán và điều trị nhược thị ở trẻ em. </w:t>
      </w:r>
    </w:p>
    <w:p w:rsidR="00F96B13" w:rsidRPr="00CF6678" w:rsidRDefault="00F96B13" w:rsidP="00F96B13">
      <w:pPr>
        <w:spacing w:line="380" w:lineRule="exact"/>
        <w:ind w:firstLine="720"/>
        <w:jc w:val="both"/>
        <w:rPr>
          <w:sz w:val="26"/>
          <w:szCs w:val="26"/>
          <w:lang w:val="pt-BR"/>
        </w:rPr>
      </w:pPr>
    </w:p>
    <w:p w:rsidR="00F96B13" w:rsidRPr="00CF6678" w:rsidRDefault="00F96B13" w:rsidP="00F96B13">
      <w:pPr>
        <w:spacing w:after="120"/>
        <w:rPr>
          <w:i/>
          <w:sz w:val="26"/>
          <w:szCs w:val="26"/>
        </w:rPr>
      </w:pPr>
      <w:r w:rsidRPr="00CF6678">
        <w:rPr>
          <w:sz w:val="26"/>
          <w:szCs w:val="26"/>
          <w:lang w:val="pt-BR"/>
        </w:rPr>
        <w:t xml:space="preserve">                                                                                </w:t>
      </w:r>
      <w:r w:rsidRPr="00CF6678">
        <w:rPr>
          <w:i/>
          <w:sz w:val="26"/>
          <w:szCs w:val="26"/>
          <w:lang w:val="pt-BR"/>
        </w:rPr>
        <w:t xml:space="preserve">  </w:t>
      </w:r>
      <w:r w:rsidRPr="00CF6678">
        <w:rPr>
          <w:i/>
          <w:sz w:val="26"/>
          <w:szCs w:val="26"/>
        </w:rPr>
        <w:t xml:space="preserve">Ngày        tháng        năm  </w:t>
      </w:r>
    </w:p>
    <w:tbl>
      <w:tblPr>
        <w:tblW w:w="0" w:type="auto"/>
        <w:tblLook w:val="0000" w:firstRow="0" w:lastRow="0" w:firstColumn="0" w:lastColumn="0" w:noHBand="0" w:noVBand="0"/>
      </w:tblPr>
      <w:tblGrid>
        <w:gridCol w:w="4617"/>
        <w:gridCol w:w="4625"/>
      </w:tblGrid>
      <w:tr w:rsidR="00F96B13" w:rsidRPr="00CF6678" w:rsidTr="007C03B8">
        <w:tc>
          <w:tcPr>
            <w:tcW w:w="4785" w:type="dxa"/>
          </w:tcPr>
          <w:p w:rsidR="00F96B13" w:rsidRPr="00CF6678" w:rsidRDefault="00F96B13" w:rsidP="007C03B8">
            <w:pPr>
              <w:spacing w:after="120"/>
              <w:jc w:val="center"/>
              <w:rPr>
                <w:b/>
                <w:bCs/>
                <w:sz w:val="26"/>
                <w:szCs w:val="26"/>
              </w:rPr>
            </w:pPr>
            <w:r w:rsidRPr="00CF6678">
              <w:rPr>
                <w:b/>
                <w:bCs/>
                <w:sz w:val="26"/>
                <w:szCs w:val="26"/>
              </w:rPr>
              <w:t>Tổ chức chủ trì</w:t>
            </w:r>
          </w:p>
          <w:p w:rsidR="00F96B13" w:rsidRPr="00CF6678" w:rsidRDefault="00F96B13" w:rsidP="007C03B8">
            <w:pPr>
              <w:spacing w:after="120"/>
              <w:jc w:val="center"/>
              <w:rPr>
                <w:i/>
                <w:iCs/>
                <w:sz w:val="26"/>
                <w:szCs w:val="26"/>
              </w:rPr>
            </w:pPr>
            <w:r w:rsidRPr="00CF6678">
              <w:rPr>
                <w:i/>
                <w:iCs/>
                <w:sz w:val="26"/>
                <w:szCs w:val="26"/>
              </w:rPr>
              <w:t>(ký, họ và tên, đóng dấu)</w:t>
            </w:r>
          </w:p>
        </w:tc>
        <w:tc>
          <w:tcPr>
            <w:tcW w:w="4786" w:type="dxa"/>
          </w:tcPr>
          <w:p w:rsidR="00F96B13" w:rsidRPr="00CF6678" w:rsidRDefault="00F96B13" w:rsidP="007C03B8">
            <w:pPr>
              <w:spacing w:after="120"/>
              <w:jc w:val="center"/>
              <w:rPr>
                <w:sz w:val="26"/>
                <w:szCs w:val="26"/>
              </w:rPr>
            </w:pPr>
            <w:r w:rsidRPr="00CF6678">
              <w:rPr>
                <w:b/>
                <w:bCs/>
                <w:sz w:val="26"/>
                <w:szCs w:val="26"/>
              </w:rPr>
              <w:t>Chủ nhiệm đề tài</w:t>
            </w:r>
          </w:p>
          <w:p w:rsidR="00F96B13" w:rsidRPr="00CF6678" w:rsidRDefault="00F96B13" w:rsidP="007C03B8">
            <w:pPr>
              <w:spacing w:after="120"/>
              <w:jc w:val="center"/>
              <w:rPr>
                <w:b/>
                <w:bCs/>
                <w:i/>
                <w:iCs/>
                <w:sz w:val="26"/>
                <w:szCs w:val="26"/>
              </w:rPr>
            </w:pPr>
            <w:r w:rsidRPr="00CF6678">
              <w:rPr>
                <w:i/>
                <w:iCs/>
                <w:sz w:val="26"/>
                <w:szCs w:val="26"/>
              </w:rPr>
              <w:t>(ký, họ và tên)</w:t>
            </w:r>
          </w:p>
          <w:p w:rsidR="00F96B13" w:rsidRPr="00CF6678" w:rsidRDefault="00F96B13" w:rsidP="007C03B8">
            <w:pPr>
              <w:spacing w:after="120"/>
              <w:jc w:val="center"/>
              <w:rPr>
                <w:sz w:val="26"/>
                <w:szCs w:val="26"/>
              </w:rPr>
            </w:pPr>
          </w:p>
        </w:tc>
      </w:tr>
      <w:tr w:rsidR="00F96B13" w:rsidRPr="00CF6678" w:rsidTr="007C03B8">
        <w:tc>
          <w:tcPr>
            <w:tcW w:w="4785" w:type="dxa"/>
          </w:tcPr>
          <w:p w:rsidR="00F96B13" w:rsidRPr="00CF6678" w:rsidRDefault="00F96B13" w:rsidP="007C03B8">
            <w:pPr>
              <w:spacing w:after="120"/>
              <w:rPr>
                <w:sz w:val="26"/>
                <w:szCs w:val="26"/>
              </w:rPr>
            </w:pPr>
          </w:p>
        </w:tc>
        <w:tc>
          <w:tcPr>
            <w:tcW w:w="4786" w:type="dxa"/>
          </w:tcPr>
          <w:p w:rsidR="00F96B13" w:rsidRPr="00CF6678" w:rsidRDefault="00F96B13" w:rsidP="007C03B8">
            <w:pPr>
              <w:spacing w:after="120"/>
              <w:rPr>
                <w:sz w:val="26"/>
                <w:szCs w:val="26"/>
              </w:rPr>
            </w:pPr>
          </w:p>
        </w:tc>
      </w:tr>
    </w:tbl>
    <w:p w:rsidR="00F96B13" w:rsidRPr="00CF6678" w:rsidRDefault="00F96B13" w:rsidP="00F96B13">
      <w:pPr>
        <w:spacing w:after="120"/>
        <w:jc w:val="right"/>
        <w:rPr>
          <w:b/>
          <w:bCs/>
          <w:szCs w:val="26"/>
        </w:rPr>
      </w:pPr>
      <w:bookmarkStart w:id="0" w:name="_GoBack"/>
      <w:bookmarkEnd w:id="0"/>
    </w:p>
    <w:sectPr w:rsidR="00F96B13" w:rsidRPr="00CF6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13"/>
    <w:rsid w:val="003A369A"/>
    <w:rsid w:val="00B9331A"/>
    <w:rsid w:val="00F96B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13"/>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13"/>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2018-04-02T07:18:00Z</dcterms:created>
  <dcterms:modified xsi:type="dcterms:W3CDTF">2018-04-02T07:22:00Z</dcterms:modified>
</cp:coreProperties>
</file>